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187F43">
        <w:t>4/1</w:t>
      </w:r>
      <w:r w:rsidR="00F53F12">
        <w:t>/2012</w:t>
      </w:r>
    </w:p>
    <w:p w:rsidR="00187F43" w:rsidRDefault="00C07649" w:rsidP="00CC68DA">
      <w:r>
        <w:t>Journal Entry #:</w:t>
      </w:r>
      <w:r w:rsidR="00F53F12">
        <w:t xml:space="preserve"> </w:t>
      </w:r>
      <w:r w:rsidR="00187F43">
        <w:t>4</w:t>
      </w:r>
    </w:p>
    <w:p w:rsidR="00F65BBD" w:rsidRDefault="00F65BBD" w:rsidP="00CC68DA">
      <w:r>
        <w:t>Issue a</w:t>
      </w:r>
      <w:r w:rsidR="00C07649">
        <w:t xml:space="preserve">ddressed (e.g. </w:t>
      </w:r>
      <w:r w:rsidR="00F37662">
        <w:t>Student Discipline</w:t>
      </w:r>
      <w:r>
        <w:t>):</w:t>
      </w:r>
      <w:r w:rsidR="00F53F12">
        <w:t xml:space="preserve"> </w:t>
      </w:r>
      <w:r w:rsidR="00187F43">
        <w:t>Hiring School Faculty</w:t>
      </w:r>
    </w:p>
    <w:p w:rsidR="00F53F12" w:rsidRDefault="00F65BBD" w:rsidP="00F53F12">
      <w:pPr>
        <w:autoSpaceDE w:val="0"/>
        <w:autoSpaceDN w:val="0"/>
        <w:adjustRightInd w:val="0"/>
      </w:pPr>
      <w:r>
        <w:t xml:space="preserve">Colorado Principal Standard addressed:  </w:t>
      </w:r>
      <w:r w:rsidR="007A40FC">
        <w:rPr>
          <w:b/>
          <w:bCs/>
          <w:sz w:val="22"/>
          <w:szCs w:val="22"/>
        </w:rPr>
        <w:t>Sta</w:t>
      </w:r>
      <w:r w:rsidR="007A40FC">
        <w:rPr>
          <w:b/>
          <w:bCs/>
          <w:sz w:val="23"/>
          <w:szCs w:val="23"/>
        </w:rPr>
        <w:t>ndard IV: Principals Demonstrate Human Resource Leadership</w:t>
      </w:r>
    </w:p>
    <w:p w:rsidR="007A40FC" w:rsidRDefault="007A40FC" w:rsidP="007A40FC">
      <w:pPr>
        <w:pStyle w:val="Default"/>
        <w:rPr>
          <w:rFonts w:cs="Times New Roman"/>
          <w:color w:val="auto"/>
        </w:rPr>
      </w:pPr>
    </w:p>
    <w:p w:rsidR="007A40FC" w:rsidRPr="007A40FC" w:rsidRDefault="007A40FC" w:rsidP="007A40FC">
      <w:pPr>
        <w:pStyle w:val="Default"/>
        <w:rPr>
          <w:rFonts w:ascii="Times New Roman" w:hAnsi="Times New Roman" w:cs="Times New Roman"/>
          <w:sz w:val="22"/>
          <w:szCs w:val="22"/>
        </w:rPr>
      </w:pPr>
      <w:r w:rsidRPr="007A40FC">
        <w:rPr>
          <w:rFonts w:ascii="Times New Roman" w:hAnsi="Times New Roman" w:cs="Times New Roman"/>
          <w:b/>
          <w:bCs/>
          <w:sz w:val="22"/>
          <w:szCs w:val="22"/>
        </w:rPr>
        <w:t xml:space="preserve">b. Recruiting, Hiring, Placing, Mentoring, and Recommendations for Dismissal of Staff: </w:t>
      </w:r>
      <w:r w:rsidRPr="007A40FC">
        <w:rPr>
          <w:rFonts w:ascii="Times New Roman" w:hAnsi="Times New Roman" w:cs="Times New Roman"/>
          <w:sz w:val="22"/>
          <w:szCs w:val="22"/>
        </w:rPr>
        <w:t xml:space="preserve">Principals establish and effectively manage processes and systems that ensure a high-quality, high-performing staff, including an overall count and percentage of effective teachers that reflects the school’s improvement priorities. </w:t>
      </w:r>
    </w:p>
    <w:p w:rsidR="007A40FC" w:rsidRPr="007A40FC" w:rsidRDefault="007A40FC" w:rsidP="007A40FC">
      <w:pPr>
        <w:pStyle w:val="Default"/>
        <w:rPr>
          <w:rFonts w:ascii="Times New Roman" w:hAnsi="Times New Roman" w:cs="Times New Roman"/>
          <w:sz w:val="22"/>
          <w:szCs w:val="22"/>
        </w:rPr>
      </w:pPr>
    </w:p>
    <w:p w:rsidR="00CC68DA" w:rsidRPr="00F53F12" w:rsidRDefault="007A40FC" w:rsidP="007A40FC">
      <w:pPr>
        <w:autoSpaceDE w:val="0"/>
        <w:autoSpaceDN w:val="0"/>
        <w:adjustRightInd w:val="0"/>
        <w:rPr>
          <w:rFonts w:ascii="Calibri" w:eastAsia="Calibri" w:hAnsi="Calibri" w:cs="Calibri"/>
          <w:color w:val="000000"/>
          <w:sz w:val="18"/>
          <w:szCs w:val="18"/>
        </w:rPr>
      </w:pPr>
      <w:r w:rsidRPr="007A40FC">
        <w:rPr>
          <w:sz w:val="22"/>
          <w:szCs w:val="22"/>
        </w:rPr>
        <w:t>Principals include in their professional development plan explicit reference to the ways in which they intend to address the counts and percentages of effective teachers in the building. They recruit, retain and support high-quality and effective teachers and staff, and implement a systemic process for comprehensive, effective, and research-based professional development, coaching and mentoring that is differentiated for adults to support student learning. As appropriate, principals create school-wide structures that ensure that teacher candidates and other educator interns provide support for students, and increase embedded professional learning opportunities for experienced educators in the school. They demonstrate the ability to dismiss staff members who are ineffective or otherwise unsatisfactory after plans for professional improvement and support have proven unsuccessful.</w:t>
      </w:r>
      <w:r>
        <w:rPr>
          <w:sz w:val="18"/>
          <w:szCs w:val="18"/>
        </w:rPr>
        <w:t xml:space="preserve"> </w:t>
      </w:r>
      <w:r w:rsidR="00CC68DA">
        <w:tab/>
      </w:r>
      <w:r w:rsidR="00CC68DA">
        <w:tab/>
      </w:r>
      <w:r w:rsidR="00CC68DA">
        <w:tab/>
      </w:r>
      <w:r w:rsidR="00CC68DA">
        <w:tab/>
      </w:r>
    </w:p>
    <w:p w:rsidR="00CC68DA" w:rsidRDefault="00CC68DA" w:rsidP="00CC68DA">
      <w:r>
        <w:tab/>
      </w:r>
      <w:r>
        <w:tab/>
      </w:r>
    </w:p>
    <w:p w:rsidR="00CC68DA" w:rsidRDefault="00CC68DA" w:rsidP="00CC68DA"/>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375E4F" w:rsidRDefault="007A40FC" w:rsidP="00375E4F">
            <w:pPr>
              <w:pStyle w:val="ListParagraph"/>
              <w:spacing w:after="0" w:line="240" w:lineRule="auto"/>
              <w:rPr>
                <w:color w:val="4F81BD" w:themeColor="accent1"/>
              </w:rPr>
            </w:pPr>
            <w:r>
              <w:rPr>
                <w:color w:val="4F81BD" w:themeColor="accent1"/>
              </w:rPr>
              <w:t xml:space="preserve">Over the course of our studies, we have often spoken about hiring good teachers and what to look for in candidates. Many principals and human resources staff have different views concerning what combination of skills and experience good candidates should bring to the table. I know that you want to think about things like teaching experience, depth of </w:t>
            </w:r>
            <w:r>
              <w:rPr>
                <w:color w:val="4F81BD" w:themeColor="accent1"/>
              </w:rPr>
              <w:lastRenderedPageBreak/>
              <w:t>knowledge, preparation programs, certifications, etc. I also know you want to think about things like cohesiveness and fit with your school and staff, "</w:t>
            </w:r>
            <w:proofErr w:type="spellStart"/>
            <w:r>
              <w:rPr>
                <w:color w:val="4F81BD" w:themeColor="accent1"/>
              </w:rPr>
              <w:t>moldability</w:t>
            </w:r>
            <w:proofErr w:type="spellEnd"/>
            <w:r>
              <w:rPr>
                <w:color w:val="4F81BD" w:themeColor="accent1"/>
              </w:rPr>
              <w:t>", and professional goals.</w:t>
            </w:r>
          </w:p>
          <w:p w:rsidR="007A40FC" w:rsidRDefault="007A40FC" w:rsidP="00375E4F">
            <w:pPr>
              <w:pStyle w:val="ListParagraph"/>
              <w:spacing w:after="0" w:line="240" w:lineRule="auto"/>
              <w:rPr>
                <w:color w:val="4F81BD" w:themeColor="accent1"/>
              </w:rPr>
            </w:pPr>
          </w:p>
          <w:p w:rsidR="007A40FC" w:rsidRPr="00375E4F" w:rsidRDefault="007A40FC" w:rsidP="007A40FC">
            <w:pPr>
              <w:pStyle w:val="ListParagraph"/>
              <w:spacing w:after="0" w:line="240" w:lineRule="auto"/>
              <w:rPr>
                <w:color w:val="4F81BD" w:themeColor="accent1"/>
              </w:rPr>
            </w:pPr>
            <w:r>
              <w:rPr>
                <w:color w:val="4F81BD" w:themeColor="accent1"/>
              </w:rPr>
              <w:t xml:space="preserve">The one thing I have learned about this process is that I disagree with many seasoned human resources professionals on weeding out candidates who bring no classroom experience to the table. </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Pr="00375E4F" w:rsidRDefault="007A40FC" w:rsidP="00375E4F">
            <w:pPr>
              <w:pStyle w:val="ListParagraph"/>
              <w:spacing w:after="0" w:line="240" w:lineRule="auto"/>
              <w:rPr>
                <w:color w:val="4F81BD" w:themeColor="accent1"/>
              </w:rPr>
            </w:pPr>
            <w:r>
              <w:rPr>
                <w:color w:val="4F81BD" w:themeColor="accent1"/>
              </w:rPr>
              <w:t xml:space="preserve">Many human resources professionals and principals choose to weed out candidates who are fresh out of a teacher preparation program.  I disagree with this practice, because these are the people who are not only eager to work, but they also bring an amazing toolbox of the latest classroom approaches and technological skills. These are also the people who you can typically mold into </w:t>
            </w:r>
            <w:r>
              <w:rPr>
                <w:color w:val="4F81BD" w:themeColor="accent1"/>
              </w:rPr>
              <w:lastRenderedPageBreak/>
              <w:t>the culture of a school. As far as I am concerned, the beginning teachers have the greatest potential to change education for the better.</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7A40FC" w:rsidP="00375E4F">
            <w:pPr>
              <w:pStyle w:val="ListParagraph"/>
              <w:spacing w:after="0" w:line="240" w:lineRule="auto"/>
              <w:rPr>
                <w:color w:val="4F81BD" w:themeColor="accent1"/>
              </w:rPr>
            </w:pPr>
            <w:r>
              <w:rPr>
                <w:color w:val="4F81BD" w:themeColor="accent1"/>
              </w:rPr>
              <w:t xml:space="preserve">For the most part, I think an existing staff would be very accepting of bringing fresh professionals and ideas into the profession. There are those, however, who think "rookies" must prove themselves in order to be accepted into the community of a school. As a principal, I would make sure I prepared my new staff and the existing staff to become accountable for building this component of the culture. </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7A40FC" w:rsidP="00375E4F">
            <w:pPr>
              <w:pStyle w:val="ListParagraph"/>
              <w:spacing w:after="0" w:line="240" w:lineRule="auto"/>
              <w:rPr>
                <w:color w:val="4F81BD" w:themeColor="accent1"/>
              </w:rPr>
            </w:pPr>
            <w:r>
              <w:rPr>
                <w:color w:val="4F81BD" w:themeColor="accent1"/>
              </w:rPr>
              <w:t>I think the biggest thing it will impact is the fact that I am leading the choices in expertise for the school. If I ultimately "pick" the staff, as positions become available, I will need to back up those choices with excellent, consistent and equitable supervision.</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7A40FC" w:rsidP="00FD03F8">
            <w:pPr>
              <w:rPr>
                <w:color w:val="4F81BD" w:themeColor="accent1"/>
              </w:rPr>
            </w:pPr>
            <w:r>
              <w:rPr>
                <w:color w:val="4F81BD" w:themeColor="accent1"/>
              </w:rPr>
              <w:t xml:space="preserve">I guess, in short, I would say these choices always need to be nurtured and grown equitably. Hiring novice teachers is a risk, but I think one that is good for kids. New teachers are hungry, eager to work and VERY knowledgeable about new approaches and technology. </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D1288"/>
    <w:rsid w:val="001331B3"/>
    <w:rsid w:val="00187F43"/>
    <w:rsid w:val="0025505B"/>
    <w:rsid w:val="002B1544"/>
    <w:rsid w:val="00375E4F"/>
    <w:rsid w:val="007A40FC"/>
    <w:rsid w:val="007E620C"/>
    <w:rsid w:val="009B4A84"/>
    <w:rsid w:val="00A87D7D"/>
    <w:rsid w:val="00AB7D56"/>
    <w:rsid w:val="00AF35A3"/>
    <w:rsid w:val="00C07649"/>
    <w:rsid w:val="00C22BE4"/>
    <w:rsid w:val="00CC68DA"/>
    <w:rsid w:val="00D85F81"/>
    <w:rsid w:val="00F37662"/>
    <w:rsid w:val="00F53F12"/>
    <w:rsid w:val="00F65BBD"/>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 w:type="paragraph" w:customStyle="1" w:styleId="Default">
    <w:name w:val="Default"/>
    <w:rsid w:val="007A40F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 ds:uri="2b10be35-ece4-4aa7-bd70-a22de2cdffc9"/>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2</cp:revision>
  <dcterms:created xsi:type="dcterms:W3CDTF">2012-04-01T22:49:00Z</dcterms:created>
  <dcterms:modified xsi:type="dcterms:W3CDTF">2012-04-01T22:49:00Z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